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3CE" w:rsidRPr="00696A99" w:rsidRDefault="00C963CE" w:rsidP="00C963CE">
      <w:pPr>
        <w:rPr>
          <w:rFonts w:ascii="仿宋" w:eastAsia="仿宋" w:hAnsi="仿宋"/>
          <w:b/>
          <w:sz w:val="28"/>
          <w:szCs w:val="28"/>
        </w:rPr>
      </w:pPr>
      <w:bookmarkStart w:id="0" w:name="_GoBack"/>
      <w:r w:rsidRPr="00696A99">
        <w:rPr>
          <w:rFonts w:ascii="仿宋" w:eastAsia="仿宋" w:hAnsi="仿宋"/>
          <w:b/>
          <w:sz w:val="28"/>
          <w:szCs w:val="28"/>
        </w:rPr>
        <w:t>附件：物</w:t>
      </w:r>
      <w:proofErr w:type="gramStart"/>
      <w:r w:rsidRPr="00696A99">
        <w:rPr>
          <w:rFonts w:ascii="仿宋" w:eastAsia="仿宋" w:hAnsi="仿宋"/>
          <w:b/>
          <w:sz w:val="28"/>
          <w:szCs w:val="28"/>
        </w:rPr>
        <w:t>学网企业网院</w:t>
      </w:r>
      <w:proofErr w:type="gramEnd"/>
      <w:r w:rsidRPr="00696A99">
        <w:rPr>
          <w:rFonts w:ascii="仿宋" w:eastAsia="仿宋" w:hAnsi="仿宋"/>
          <w:b/>
          <w:sz w:val="28"/>
          <w:szCs w:val="28"/>
        </w:rPr>
        <w:t>起点版课程列表</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942"/>
        <w:gridCol w:w="1296"/>
        <w:gridCol w:w="6362"/>
      </w:tblGrid>
      <w:tr w:rsidR="00C963CE" w:rsidRPr="00C24F4C" w:rsidTr="00160C61">
        <w:trPr>
          <w:trHeight w:val="285"/>
          <w:tblHeader/>
          <w:jc w:val="center"/>
        </w:trPr>
        <w:tc>
          <w:tcPr>
            <w:tcW w:w="601" w:type="pct"/>
            <w:shd w:val="clear" w:color="auto" w:fill="auto"/>
            <w:noWrap/>
            <w:vAlign w:val="center"/>
            <w:hideMark/>
          </w:tcPr>
          <w:bookmarkEnd w:id="0"/>
          <w:p w:rsidR="00C963CE" w:rsidRPr="00C24F4C" w:rsidRDefault="00C963CE" w:rsidP="00160C61">
            <w:pPr>
              <w:jc w:val="center"/>
              <w:rPr>
                <w:rFonts w:ascii="仿宋" w:eastAsia="仿宋" w:hAnsi="仿宋" w:cs="宋体"/>
                <w:b/>
                <w:color w:val="000000"/>
                <w:sz w:val="24"/>
              </w:rPr>
            </w:pPr>
            <w:r w:rsidRPr="00C24F4C">
              <w:rPr>
                <w:rFonts w:ascii="仿宋" w:eastAsia="仿宋" w:hAnsi="仿宋" w:cs="宋体" w:hint="eastAsia"/>
                <w:b/>
                <w:color w:val="000000"/>
                <w:sz w:val="24"/>
              </w:rPr>
              <w:t>分类</w:t>
            </w:r>
          </w:p>
        </w:tc>
        <w:tc>
          <w:tcPr>
            <w:tcW w:w="482" w:type="pct"/>
            <w:vAlign w:val="center"/>
          </w:tcPr>
          <w:p w:rsidR="00C963CE" w:rsidRPr="00C24F4C" w:rsidRDefault="00C963CE" w:rsidP="00160C61">
            <w:pPr>
              <w:jc w:val="center"/>
              <w:rPr>
                <w:rFonts w:ascii="仿宋" w:eastAsia="仿宋" w:hAnsi="仿宋" w:cs="宋体"/>
                <w:b/>
                <w:color w:val="000000"/>
                <w:sz w:val="24"/>
              </w:rPr>
            </w:pPr>
            <w:r w:rsidRPr="00C24F4C">
              <w:rPr>
                <w:rFonts w:ascii="仿宋" w:eastAsia="仿宋" w:hAnsi="仿宋" w:cs="宋体" w:hint="eastAsia"/>
                <w:b/>
                <w:color w:val="000000"/>
                <w:sz w:val="24"/>
              </w:rPr>
              <w:t>序号</w:t>
            </w:r>
          </w:p>
        </w:tc>
        <w:tc>
          <w:tcPr>
            <w:tcW w:w="663" w:type="pct"/>
            <w:shd w:val="clear" w:color="auto" w:fill="auto"/>
            <w:vAlign w:val="center"/>
            <w:hideMark/>
          </w:tcPr>
          <w:p w:rsidR="00C963CE" w:rsidRPr="00C24F4C" w:rsidRDefault="00C963CE" w:rsidP="00160C61">
            <w:pPr>
              <w:jc w:val="center"/>
              <w:rPr>
                <w:rFonts w:ascii="仿宋" w:eastAsia="仿宋" w:hAnsi="仿宋" w:cs="宋体"/>
                <w:b/>
                <w:bCs/>
                <w:color w:val="000000"/>
                <w:sz w:val="24"/>
              </w:rPr>
            </w:pPr>
            <w:r w:rsidRPr="00C24F4C">
              <w:rPr>
                <w:rFonts w:ascii="仿宋" w:eastAsia="仿宋" w:hAnsi="仿宋" w:cs="宋体" w:hint="eastAsia"/>
                <w:b/>
                <w:bCs/>
                <w:color w:val="000000"/>
                <w:sz w:val="24"/>
              </w:rPr>
              <w:t>课程编号</w:t>
            </w:r>
          </w:p>
        </w:tc>
        <w:tc>
          <w:tcPr>
            <w:tcW w:w="3253" w:type="pct"/>
            <w:shd w:val="clear" w:color="auto" w:fill="auto"/>
            <w:vAlign w:val="center"/>
            <w:hideMark/>
          </w:tcPr>
          <w:p w:rsidR="00C963CE" w:rsidRPr="00C24F4C" w:rsidRDefault="00C963CE" w:rsidP="00160C61">
            <w:pPr>
              <w:jc w:val="center"/>
              <w:rPr>
                <w:rFonts w:ascii="仿宋" w:eastAsia="仿宋" w:hAnsi="仿宋" w:cs="宋体"/>
                <w:b/>
                <w:bCs/>
                <w:color w:val="000000"/>
                <w:sz w:val="24"/>
              </w:rPr>
            </w:pPr>
            <w:r w:rsidRPr="00C24F4C">
              <w:rPr>
                <w:rFonts w:ascii="仿宋" w:eastAsia="仿宋" w:hAnsi="仿宋" w:cs="宋体" w:hint="eastAsia"/>
                <w:b/>
                <w:bCs/>
                <w:color w:val="000000"/>
                <w:sz w:val="24"/>
              </w:rPr>
              <w:t>课程名称</w:t>
            </w:r>
          </w:p>
        </w:tc>
      </w:tr>
      <w:tr w:rsidR="00C963CE" w:rsidRPr="00C24F4C" w:rsidTr="00160C61">
        <w:trPr>
          <w:trHeight w:val="285"/>
          <w:jc w:val="center"/>
        </w:trPr>
        <w:tc>
          <w:tcPr>
            <w:tcW w:w="601" w:type="pct"/>
            <w:vMerge w:val="restar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安全生产</w:t>
            </w: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1</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GYJZ140</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物业安全生产管理</w:t>
            </w:r>
            <w:proofErr w:type="gramStart"/>
            <w:r w:rsidRPr="00C24F4C">
              <w:rPr>
                <w:rFonts w:ascii="仿宋" w:eastAsia="仿宋" w:hAnsi="仿宋" w:cs="宋体" w:hint="eastAsia"/>
                <w:color w:val="000000"/>
                <w:sz w:val="24"/>
              </w:rPr>
              <w:t>—当前</w:t>
            </w:r>
            <w:proofErr w:type="gramEnd"/>
            <w:r w:rsidRPr="00C24F4C">
              <w:rPr>
                <w:rFonts w:ascii="仿宋" w:eastAsia="仿宋" w:hAnsi="仿宋" w:cs="宋体" w:hint="eastAsia"/>
                <w:color w:val="000000"/>
                <w:sz w:val="24"/>
              </w:rPr>
              <w:t>安全生产的形势</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2</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GYJZ141</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物业安全生产管理—物业安全生产和消防管理</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3</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GYJZ142</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物业安全生产管理—有限空间作业安全管控</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4</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GYJZ143</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物业安全生产管理—高处作业安全管控</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5</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GYJZ144</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物业安全生产管理—外委作业管理</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6</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GYJZ145</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物业安全生产管理—应急响应管理</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7</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GYJZ162</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居住类场所的火灾风险和防范（一）</w:t>
            </w:r>
          </w:p>
        </w:tc>
      </w:tr>
      <w:tr w:rsidR="00C963CE" w:rsidRPr="00C24F4C" w:rsidTr="00160C61">
        <w:trPr>
          <w:trHeight w:val="285"/>
          <w:jc w:val="center"/>
        </w:trPr>
        <w:tc>
          <w:tcPr>
            <w:tcW w:w="601" w:type="pct"/>
            <w:vMerge w:val="restar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白蚁防治</w:t>
            </w: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8</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ZW0041</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白蚁防治</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9</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GYJZ115</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什么是散白蚁</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10</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GYJZ116</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认识散白蚁</w:t>
            </w:r>
          </w:p>
        </w:tc>
      </w:tr>
      <w:tr w:rsidR="00C963CE" w:rsidRPr="00C24F4C" w:rsidTr="00160C61">
        <w:trPr>
          <w:trHeight w:val="285"/>
          <w:jc w:val="center"/>
        </w:trPr>
        <w:tc>
          <w:tcPr>
            <w:tcW w:w="601" w:type="pct"/>
            <w:vMerge w:val="restar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多种经营</w:t>
            </w: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11</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NX0016</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什么是社区经营</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12</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NX0017</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通过盘点社区资源开展多种经营</w:t>
            </w:r>
          </w:p>
        </w:tc>
      </w:tr>
      <w:tr w:rsidR="00C963CE" w:rsidRPr="00DC5083"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13</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NX0018</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社区内开发多种经营的资源盘点</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14</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NX0019</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社区资源的运营</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15</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NX0020</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物业企业开展多种经营的基础（上）</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16</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NX0021</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物业企业开展多种经营的基础（下）</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17</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GYJZ169</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楼宇增值服务的业务实施—楼宇增值服务的定义和发展</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18</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GYJZ170</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楼宇增值服务的业务实施</w:t>
            </w:r>
            <w:proofErr w:type="gramStart"/>
            <w:r w:rsidRPr="00C24F4C">
              <w:rPr>
                <w:rFonts w:ascii="仿宋" w:eastAsia="仿宋" w:hAnsi="仿宋" w:cs="宋体" w:hint="eastAsia"/>
                <w:color w:val="000000"/>
                <w:sz w:val="24"/>
              </w:rPr>
              <w:t>—服务</w:t>
            </w:r>
            <w:proofErr w:type="gramEnd"/>
            <w:r w:rsidRPr="00C24F4C">
              <w:rPr>
                <w:rFonts w:ascii="仿宋" w:eastAsia="仿宋" w:hAnsi="仿宋" w:cs="宋体" w:hint="eastAsia"/>
                <w:color w:val="000000"/>
                <w:sz w:val="24"/>
              </w:rPr>
              <w:t>对象及需求的特点</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19</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GYJZ171</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楼宇增值服务的业务实施—可开展的增值服务业务</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20</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GYJZ172</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楼宇增值服务的业务实施</w:t>
            </w:r>
            <w:proofErr w:type="gramStart"/>
            <w:r w:rsidRPr="00C24F4C">
              <w:rPr>
                <w:rFonts w:ascii="仿宋" w:eastAsia="仿宋" w:hAnsi="仿宋" w:cs="宋体" w:hint="eastAsia"/>
                <w:color w:val="000000"/>
                <w:sz w:val="24"/>
              </w:rPr>
              <w:t>—开展</w:t>
            </w:r>
            <w:proofErr w:type="gramEnd"/>
            <w:r w:rsidRPr="00C24F4C">
              <w:rPr>
                <w:rFonts w:ascii="仿宋" w:eastAsia="仿宋" w:hAnsi="仿宋" w:cs="宋体" w:hint="eastAsia"/>
                <w:color w:val="000000"/>
                <w:sz w:val="24"/>
              </w:rPr>
              <w:t>增值服务的实践方法</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21</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GYJZ173</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楼宇增值服务的业务实施—实践中的几点注意事项</w:t>
            </w:r>
          </w:p>
        </w:tc>
      </w:tr>
      <w:tr w:rsidR="00C963CE" w:rsidRPr="00C24F4C" w:rsidTr="00160C61">
        <w:trPr>
          <w:trHeight w:val="570"/>
          <w:jc w:val="center"/>
        </w:trPr>
        <w:tc>
          <w:tcPr>
            <w:tcW w:w="601" w:type="pct"/>
            <w:vMerge w:val="restar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法律法规</w:t>
            </w: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22</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GYJZ0001</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物业企业综合评价六维度（一）：上海市物业服务企业和项目经理失信行为记分规则</w:t>
            </w:r>
          </w:p>
        </w:tc>
      </w:tr>
      <w:tr w:rsidR="00C963CE" w:rsidRPr="00C24F4C" w:rsidTr="00160C61">
        <w:trPr>
          <w:trHeight w:val="570"/>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23</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GYJZ0002</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物业企业综合评价六维度（二）：关于开展本市住宅物业服务履约质量评价工作的通知</w:t>
            </w:r>
          </w:p>
        </w:tc>
      </w:tr>
      <w:tr w:rsidR="00C963CE" w:rsidRPr="00C24F4C" w:rsidTr="00160C61">
        <w:trPr>
          <w:trHeight w:val="570"/>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24</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GYJZ0003</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物业企业综合评价六维度（三）：关于开展本市住宅物业服务企业社会责任履行社区满意度评价工作的通知</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25</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GYJZ0004</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物业企业综合评价六维度（四）：住宅物业社会公众满意度测评</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26</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GYJZ0005</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物业企业综合评价六维度（五）：物业服务企业综合能力星级测评</w:t>
            </w:r>
          </w:p>
        </w:tc>
      </w:tr>
      <w:tr w:rsidR="00C963CE" w:rsidRPr="00C24F4C" w:rsidTr="00160C61">
        <w:trPr>
          <w:trHeight w:val="570"/>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27</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GYJZ0006</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物业企业综合评价六维度（六）：关于开展本市住宅物业服务企业诉求处置及信息报送评价工作的通知</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28</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GYJZ120</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信用信息管理办法重点条款解读</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29</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GYJZ121</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失信行为记分规则解读</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30</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GYJZ122</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物业服务合同示范文本解读</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31</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GYJZ0007</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加强本市装修垃圾大件垃圾投放和收运管理工作的政策解读（上）</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32</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GYJZ0008</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加强本市装修垃圾大件垃圾投放和收运管理工作的政策解读（下）</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33</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XSJX0037</w:t>
            </w:r>
          </w:p>
        </w:tc>
        <w:tc>
          <w:tcPr>
            <w:tcW w:w="3253" w:type="pc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从《民法典》物</w:t>
            </w:r>
            <w:proofErr w:type="gramStart"/>
            <w:r w:rsidRPr="00C24F4C">
              <w:rPr>
                <w:rFonts w:ascii="仿宋" w:eastAsia="仿宋" w:hAnsi="仿宋" w:cs="宋体" w:hint="eastAsia"/>
                <w:color w:val="000000"/>
                <w:sz w:val="24"/>
              </w:rPr>
              <w:t>权编看</w:t>
            </w:r>
            <w:proofErr w:type="gramEnd"/>
            <w:r w:rsidRPr="00C24F4C">
              <w:rPr>
                <w:rFonts w:ascii="仿宋" w:eastAsia="仿宋" w:hAnsi="仿宋" w:cs="宋体" w:hint="eastAsia"/>
                <w:color w:val="000000"/>
                <w:sz w:val="24"/>
              </w:rPr>
              <w:t>物业服务人的管理风险</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34</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XSJX0038</w:t>
            </w:r>
          </w:p>
        </w:tc>
        <w:tc>
          <w:tcPr>
            <w:tcW w:w="3253" w:type="pc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从《民法典》</w:t>
            </w:r>
            <w:proofErr w:type="gramStart"/>
            <w:r w:rsidRPr="00C24F4C">
              <w:rPr>
                <w:rFonts w:ascii="仿宋" w:eastAsia="仿宋" w:hAnsi="仿宋" w:cs="宋体" w:hint="eastAsia"/>
                <w:color w:val="000000"/>
                <w:sz w:val="24"/>
              </w:rPr>
              <w:t>合同编看物业</w:t>
            </w:r>
            <w:proofErr w:type="gramEnd"/>
            <w:r w:rsidRPr="00C24F4C">
              <w:rPr>
                <w:rFonts w:ascii="仿宋" w:eastAsia="仿宋" w:hAnsi="仿宋" w:cs="宋体" w:hint="eastAsia"/>
                <w:color w:val="000000"/>
                <w:sz w:val="24"/>
              </w:rPr>
              <w:t>服务人的管理风险</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35</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XSJX0039</w:t>
            </w:r>
          </w:p>
        </w:tc>
        <w:tc>
          <w:tcPr>
            <w:tcW w:w="3253" w:type="pc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从《民法典》</w:t>
            </w:r>
            <w:proofErr w:type="gramStart"/>
            <w:r w:rsidRPr="00C24F4C">
              <w:rPr>
                <w:rFonts w:ascii="仿宋" w:eastAsia="仿宋" w:hAnsi="仿宋" w:cs="宋体" w:hint="eastAsia"/>
                <w:color w:val="000000"/>
                <w:sz w:val="24"/>
              </w:rPr>
              <w:t>侵权编看物业</w:t>
            </w:r>
            <w:proofErr w:type="gramEnd"/>
            <w:r w:rsidRPr="00C24F4C">
              <w:rPr>
                <w:rFonts w:ascii="仿宋" w:eastAsia="仿宋" w:hAnsi="仿宋" w:cs="宋体" w:hint="eastAsia"/>
                <w:color w:val="000000"/>
                <w:sz w:val="24"/>
              </w:rPr>
              <w:t>服务人的管理风险</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36</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gyzb012</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新修订版《上海市消防条列》解读（上）</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37</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gyzb013</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新修订版《上海市消防条列》解读（中）</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38</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gyzb014</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新修订版《上海市消防条列》解读（下）</w:t>
            </w:r>
          </w:p>
        </w:tc>
      </w:tr>
      <w:tr w:rsidR="00C963CE" w:rsidRPr="00C24F4C" w:rsidTr="00160C61">
        <w:trPr>
          <w:trHeight w:val="285"/>
          <w:jc w:val="center"/>
        </w:trPr>
        <w:tc>
          <w:tcPr>
            <w:tcW w:w="601" w:type="pct"/>
            <w:vMerge w:val="restar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color w:val="000000"/>
                <w:sz w:val="24"/>
              </w:rPr>
              <w:t>非居管理</w:t>
            </w: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39</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GYJZ153</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超高层业态运营管理重点分享—超高层服务特点概述</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40</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GYJZ154</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超高层业态运营管理重点分享—超高层服务关注点（工程类）</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41</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GYJZ155</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超高层业态运营管理重点分享—超高层服务关注点（物业服务类）</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42</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GYJZ156</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超高层业态运营管理重点分享—超高层物业服务专家</w:t>
            </w:r>
          </w:p>
        </w:tc>
      </w:tr>
      <w:tr w:rsidR="00C963CE" w:rsidRPr="00C24F4C" w:rsidTr="00160C61">
        <w:trPr>
          <w:trHeight w:val="285"/>
          <w:jc w:val="center"/>
        </w:trPr>
        <w:tc>
          <w:tcPr>
            <w:tcW w:w="601" w:type="pct"/>
            <w:vMerge w:val="restar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合同履约</w:t>
            </w: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43</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GYJZ149</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领会合同内容条款-提升合同履约质量——履约质量评价办法解读</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44</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GYJZ150</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领会合同内容条款-提升合同履约质量——履约质量评价内容</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45</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GYJZ151</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领会合同内容条款-提升合同履约质量——履约质量评价实施细则</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46</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GYJZ152</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领会合同内容条款-提升合同履约质量——履约质量评价专家实操</w:t>
            </w:r>
          </w:p>
        </w:tc>
      </w:tr>
      <w:tr w:rsidR="00C963CE" w:rsidRPr="00C24F4C" w:rsidTr="00160C61">
        <w:trPr>
          <w:trHeight w:val="285"/>
          <w:jc w:val="center"/>
        </w:trPr>
        <w:tc>
          <w:tcPr>
            <w:tcW w:w="601" w:type="pct"/>
            <w:vMerge w:val="restar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技能竞赛</w:t>
            </w: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47</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GYJZ126</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2023年度上海市物业管理行业职业技能竞赛—物业管理员赛前辅导</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48</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GYJZ127</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2023年度上海市物业管理行业职业技能竞赛—电工赛前辅导</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49</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GYJZ128</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2023年度上海市物业管理行业职业技能竞赛—水电工赛前辅导</w:t>
            </w:r>
          </w:p>
        </w:tc>
      </w:tr>
      <w:tr w:rsidR="00C963CE" w:rsidRPr="00C24F4C" w:rsidTr="00160C61">
        <w:trPr>
          <w:trHeight w:val="570"/>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50</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GYJZ129</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2023年度上海市物业管理行业职业技能竞赛—智能楼宇管理员赛前辅导</w:t>
            </w:r>
          </w:p>
        </w:tc>
      </w:tr>
      <w:tr w:rsidR="00C963CE" w:rsidRPr="00C24F4C" w:rsidTr="00160C61">
        <w:trPr>
          <w:trHeight w:val="285"/>
          <w:jc w:val="center"/>
        </w:trPr>
        <w:tc>
          <w:tcPr>
            <w:tcW w:w="601" w:type="pct"/>
            <w:vMerge w:val="restar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经营管理</w:t>
            </w: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51</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gyzb005</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物业服务企业经营管理综述：把握二个原则前提把握二个原则前提</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52</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gyzb021</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疫情对物业行业发展的影响和分析（上）</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53</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gyzb022</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疫情对物业行业发展的影响和分析（中）</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54</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gyzb023</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疫情对物业行业发展的影响和分析（下）</w:t>
            </w:r>
          </w:p>
        </w:tc>
      </w:tr>
      <w:tr w:rsidR="00C963CE" w:rsidRPr="00C24F4C" w:rsidTr="00160C61">
        <w:trPr>
          <w:trHeight w:val="285"/>
          <w:jc w:val="center"/>
        </w:trPr>
        <w:tc>
          <w:tcPr>
            <w:tcW w:w="601" w:type="pct"/>
            <w:vMerge w:val="restar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客服沟通</w:t>
            </w: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55</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SAM010304</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应诉有道——高情</w:t>
            </w:r>
            <w:proofErr w:type="gramStart"/>
            <w:r w:rsidRPr="00C24F4C">
              <w:rPr>
                <w:rFonts w:ascii="仿宋" w:eastAsia="仿宋" w:hAnsi="仿宋" w:cs="宋体" w:hint="eastAsia"/>
                <w:color w:val="000000"/>
                <w:sz w:val="24"/>
              </w:rPr>
              <w:t>商处理</w:t>
            </w:r>
            <w:proofErr w:type="gramEnd"/>
            <w:r w:rsidRPr="00C24F4C">
              <w:rPr>
                <w:rFonts w:ascii="仿宋" w:eastAsia="仿宋" w:hAnsi="仿宋" w:cs="宋体" w:hint="eastAsia"/>
                <w:color w:val="000000"/>
                <w:sz w:val="24"/>
              </w:rPr>
              <w:t>客户投诉的步骤</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56</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GYJZ135</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proofErr w:type="gramStart"/>
            <w:r w:rsidRPr="00C24F4C">
              <w:rPr>
                <w:rFonts w:ascii="仿宋" w:eastAsia="仿宋" w:hAnsi="仿宋" w:cs="宋体" w:hint="eastAsia"/>
                <w:color w:val="000000"/>
                <w:sz w:val="24"/>
              </w:rPr>
              <w:t>浅谈业委</w:t>
            </w:r>
            <w:proofErr w:type="gramEnd"/>
            <w:r w:rsidRPr="00C24F4C">
              <w:rPr>
                <w:rFonts w:ascii="仿宋" w:eastAsia="仿宋" w:hAnsi="仿宋" w:cs="宋体" w:hint="eastAsia"/>
                <w:color w:val="000000"/>
                <w:sz w:val="24"/>
              </w:rPr>
              <w:t>会沟通要点—沟通的要素（上）</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57</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GYJZ136</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proofErr w:type="gramStart"/>
            <w:r w:rsidRPr="00C24F4C">
              <w:rPr>
                <w:rFonts w:ascii="仿宋" w:eastAsia="仿宋" w:hAnsi="仿宋" w:cs="宋体" w:hint="eastAsia"/>
                <w:color w:val="000000"/>
                <w:sz w:val="24"/>
              </w:rPr>
              <w:t>浅谈业委</w:t>
            </w:r>
            <w:proofErr w:type="gramEnd"/>
            <w:r w:rsidRPr="00C24F4C">
              <w:rPr>
                <w:rFonts w:ascii="仿宋" w:eastAsia="仿宋" w:hAnsi="仿宋" w:cs="宋体" w:hint="eastAsia"/>
                <w:color w:val="000000"/>
                <w:sz w:val="24"/>
              </w:rPr>
              <w:t>会沟通要点—沟通的要素（下）</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58</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GYJZ137</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proofErr w:type="gramStart"/>
            <w:r w:rsidRPr="00C24F4C">
              <w:rPr>
                <w:rFonts w:ascii="仿宋" w:eastAsia="仿宋" w:hAnsi="仿宋" w:cs="宋体" w:hint="eastAsia"/>
                <w:color w:val="000000"/>
                <w:sz w:val="24"/>
              </w:rPr>
              <w:t>浅谈业委</w:t>
            </w:r>
            <w:proofErr w:type="gramEnd"/>
            <w:r w:rsidRPr="00C24F4C">
              <w:rPr>
                <w:rFonts w:ascii="仿宋" w:eastAsia="仿宋" w:hAnsi="仿宋" w:cs="宋体" w:hint="eastAsia"/>
                <w:color w:val="000000"/>
                <w:sz w:val="24"/>
              </w:rPr>
              <w:t>会沟通要点—</w:t>
            </w:r>
            <w:proofErr w:type="gramStart"/>
            <w:r w:rsidRPr="00C24F4C">
              <w:rPr>
                <w:rFonts w:ascii="仿宋" w:eastAsia="仿宋" w:hAnsi="仿宋" w:cs="宋体" w:hint="eastAsia"/>
                <w:color w:val="000000"/>
                <w:sz w:val="24"/>
              </w:rPr>
              <w:t>业委会</w:t>
            </w:r>
            <w:proofErr w:type="gramEnd"/>
            <w:r w:rsidRPr="00C24F4C">
              <w:rPr>
                <w:rFonts w:ascii="仿宋" w:eastAsia="仿宋" w:hAnsi="仿宋" w:cs="宋体" w:hint="eastAsia"/>
                <w:color w:val="000000"/>
                <w:sz w:val="24"/>
              </w:rPr>
              <w:t>日常沟通</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59</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GYJZ138</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proofErr w:type="gramStart"/>
            <w:r w:rsidRPr="00C24F4C">
              <w:rPr>
                <w:rFonts w:ascii="仿宋" w:eastAsia="仿宋" w:hAnsi="仿宋" w:cs="宋体" w:hint="eastAsia"/>
                <w:color w:val="000000"/>
                <w:sz w:val="24"/>
              </w:rPr>
              <w:t>浅谈业委</w:t>
            </w:r>
            <w:proofErr w:type="gramEnd"/>
            <w:r w:rsidRPr="00C24F4C">
              <w:rPr>
                <w:rFonts w:ascii="仿宋" w:eastAsia="仿宋" w:hAnsi="仿宋" w:cs="宋体" w:hint="eastAsia"/>
                <w:color w:val="000000"/>
                <w:sz w:val="24"/>
              </w:rPr>
              <w:t>会沟通要点—物业管理费调价</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60</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GYJZ139</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proofErr w:type="gramStart"/>
            <w:r w:rsidRPr="00C24F4C">
              <w:rPr>
                <w:rFonts w:ascii="仿宋" w:eastAsia="仿宋" w:hAnsi="仿宋" w:cs="宋体" w:hint="eastAsia"/>
                <w:color w:val="000000"/>
                <w:sz w:val="24"/>
              </w:rPr>
              <w:t>浅谈业委</w:t>
            </w:r>
            <w:proofErr w:type="gramEnd"/>
            <w:r w:rsidRPr="00C24F4C">
              <w:rPr>
                <w:rFonts w:ascii="仿宋" w:eastAsia="仿宋" w:hAnsi="仿宋" w:cs="宋体" w:hint="eastAsia"/>
                <w:color w:val="000000"/>
                <w:sz w:val="24"/>
              </w:rPr>
              <w:t>会沟通要点—物业服务企业招投标</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61</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XSJX0040</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物业企业为什么开展客户满意度调研工作</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62</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XSJX0041</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物业行业常见的客户满意度调研方法</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63</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XSJX0042</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物业客户满意度不同生命周期的划分及调研内容</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64</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XSJX0043</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物业客户满意度调研结果数据分析</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65</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XSJX0044</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物业企业不同周期满意度的关注重点（以新城悦服</w:t>
            </w:r>
            <w:proofErr w:type="gramStart"/>
            <w:r w:rsidRPr="00C24F4C">
              <w:rPr>
                <w:rFonts w:ascii="仿宋" w:eastAsia="仿宋" w:hAnsi="仿宋" w:cs="宋体" w:hint="eastAsia"/>
                <w:color w:val="000000"/>
                <w:sz w:val="24"/>
              </w:rPr>
              <w:t>务</w:t>
            </w:r>
            <w:proofErr w:type="gramEnd"/>
            <w:r w:rsidRPr="00C24F4C">
              <w:rPr>
                <w:rFonts w:ascii="仿宋" w:eastAsia="仿宋" w:hAnsi="仿宋" w:cs="宋体" w:hint="eastAsia"/>
                <w:color w:val="000000"/>
                <w:sz w:val="24"/>
              </w:rPr>
              <w:t>为例）</w:t>
            </w:r>
          </w:p>
        </w:tc>
      </w:tr>
      <w:tr w:rsidR="00C963CE" w:rsidRPr="00C24F4C" w:rsidTr="00160C61">
        <w:trPr>
          <w:trHeight w:val="285"/>
          <w:jc w:val="center"/>
        </w:trPr>
        <w:tc>
          <w:tcPr>
            <w:tcW w:w="601" w:type="pct"/>
            <w:vMerge w:val="restar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人力资源</w:t>
            </w: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66</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XSJX0015</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物业服务人力资源测算概述</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67</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XSJX0016</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物业企业综合管理服务岗位配置及人力成本测算</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68</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XSJX0017</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工程设施管理服务岗人员配置及人力成本测算</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69</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XSJX0018</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秩序维护岗人员配置与人力成本测算</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70</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XSJX0019</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环境清洁绿化人员岗位配置及人力成本测算</w:t>
            </w:r>
          </w:p>
        </w:tc>
      </w:tr>
      <w:tr w:rsidR="00C963CE" w:rsidRPr="00C24F4C" w:rsidTr="00160C61">
        <w:trPr>
          <w:trHeight w:val="285"/>
          <w:jc w:val="center"/>
        </w:trPr>
        <w:tc>
          <w:tcPr>
            <w:tcW w:w="601" w:type="pct"/>
            <w:vMerge w:val="restar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设施管理</w:t>
            </w: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71</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GYJZ0023</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设施管理概况</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72</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GYJZ0024</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设施管理与物业管理</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73</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GYJZ0025</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设施管理的未来</w:t>
            </w:r>
          </w:p>
        </w:tc>
      </w:tr>
      <w:tr w:rsidR="00C963CE" w:rsidRPr="00C24F4C" w:rsidTr="00160C61">
        <w:trPr>
          <w:trHeight w:val="285"/>
          <w:jc w:val="center"/>
        </w:trPr>
        <w:tc>
          <w:tcPr>
            <w:tcW w:w="601" w:type="pct"/>
            <w:vMerge w:val="restar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设施设备</w:t>
            </w: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74</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GYJZ117</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浅谈物业智能化设备维护保养——视频监控系统</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75</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GYJZ118</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浅谈物业智能化设备维护保养——楼宇对讲系统及车辆道</w:t>
            </w:r>
            <w:proofErr w:type="gramStart"/>
            <w:r w:rsidRPr="00C24F4C">
              <w:rPr>
                <w:rFonts w:ascii="仿宋" w:eastAsia="仿宋" w:hAnsi="仿宋" w:cs="宋体" w:hint="eastAsia"/>
                <w:color w:val="000000"/>
                <w:sz w:val="24"/>
              </w:rPr>
              <w:t>闸系统</w:t>
            </w:r>
            <w:proofErr w:type="gramEnd"/>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76</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GYJZ119</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浅谈物业智能化设备维护保养——周界报警系统</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77</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GYJZ123</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物业项目机房标准化建设——文件记录类及工器具类</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78</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GYJZ124</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物业项目机房标准化建设——标识类及辅助设备类</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79</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GYJZ125</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物业项目机房标准化建设——建筑环境类</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80</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GYJZ0019</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物业设施设备运行管理概述</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81</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GYJZ0020</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物业设施设备运行管理工作内容（上）</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82</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GYJZ0021</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物业设施设备运行管理工作内容（下）</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83</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GYJZ0022</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物业设施设备运行管理操作中的要点</w:t>
            </w:r>
          </w:p>
        </w:tc>
      </w:tr>
      <w:tr w:rsidR="00C963CE" w:rsidRPr="00C24F4C" w:rsidTr="00160C61">
        <w:trPr>
          <w:trHeight w:val="285"/>
          <w:jc w:val="center"/>
        </w:trPr>
        <w:tc>
          <w:tcPr>
            <w:tcW w:w="601" w:type="pct"/>
            <w:vMerge w:val="restar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市优创建</w:t>
            </w:r>
          </w:p>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84</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GYJZ0026</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按市优标准提升现场管理水平——基础资料管理</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85</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GYJZ0027</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按市优标准提升现场管理水平——现场环境管理</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86</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GYJZ0028</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按市优标准提升现场管理水平——设备设施管理</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87</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GYJZ0029</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按市优标准提升现场管理水平——现场管理图解</w:t>
            </w:r>
          </w:p>
        </w:tc>
      </w:tr>
      <w:tr w:rsidR="00C963CE" w:rsidRPr="00C24F4C" w:rsidTr="00160C61">
        <w:trPr>
          <w:trHeight w:val="285"/>
          <w:jc w:val="center"/>
        </w:trPr>
        <w:tc>
          <w:tcPr>
            <w:tcW w:w="601" w:type="pct"/>
            <w:vMerge w:val="restart"/>
            <w:shd w:val="clear" w:color="auto" w:fill="auto"/>
            <w:noWrap/>
            <w:vAlign w:val="center"/>
            <w:hideMark/>
          </w:tcPr>
          <w:p w:rsidR="00C963CE" w:rsidRPr="00C24F4C" w:rsidRDefault="00C963CE" w:rsidP="00160C61">
            <w:pPr>
              <w:rPr>
                <w:rFonts w:ascii="仿宋" w:eastAsia="仿宋" w:hAnsi="仿宋" w:cs="宋体"/>
                <w:color w:val="000000"/>
                <w:sz w:val="24"/>
              </w:rPr>
            </w:pPr>
            <w:proofErr w:type="gramStart"/>
            <w:r w:rsidRPr="00C24F4C">
              <w:rPr>
                <w:rFonts w:ascii="仿宋" w:eastAsia="仿宋" w:hAnsi="仿宋" w:cs="宋体"/>
                <w:color w:val="000000"/>
                <w:sz w:val="24"/>
              </w:rPr>
              <w:t>双碳战略</w:t>
            </w:r>
            <w:proofErr w:type="gramEnd"/>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88</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GYJZ130</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资产运营的ESG绩效提升路径探索实践</w:t>
            </w:r>
            <w:proofErr w:type="gramStart"/>
            <w:r w:rsidRPr="00C24F4C">
              <w:rPr>
                <w:rFonts w:ascii="仿宋" w:eastAsia="仿宋" w:hAnsi="仿宋" w:cs="宋体" w:hint="eastAsia"/>
                <w:color w:val="000000"/>
                <w:sz w:val="24"/>
              </w:rPr>
              <w:t>—什么</w:t>
            </w:r>
            <w:proofErr w:type="gramEnd"/>
            <w:r w:rsidRPr="00C24F4C">
              <w:rPr>
                <w:rFonts w:ascii="仿宋" w:eastAsia="仿宋" w:hAnsi="仿宋" w:cs="宋体" w:hint="eastAsia"/>
                <w:color w:val="000000"/>
                <w:sz w:val="24"/>
              </w:rPr>
              <w:t>是ESG</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89</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GYJZ131</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资产运营的ESG绩效提升路径探索实践—ESG政策趋势及市场逻辑</w:t>
            </w:r>
          </w:p>
        </w:tc>
      </w:tr>
      <w:tr w:rsidR="00C963CE" w:rsidRPr="00C24F4C" w:rsidTr="00160C61">
        <w:trPr>
          <w:trHeight w:val="570"/>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90</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GYJZ132</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资产运营的ESG绩效提升路径探索实践—房地产行业面临ESG挑战</w:t>
            </w:r>
            <w:proofErr w:type="gramStart"/>
            <w:r w:rsidRPr="00C24F4C">
              <w:rPr>
                <w:rFonts w:ascii="仿宋" w:eastAsia="仿宋" w:hAnsi="仿宋" w:cs="宋体" w:hint="eastAsia"/>
                <w:color w:val="000000"/>
                <w:sz w:val="24"/>
              </w:rPr>
              <w:t>及资管</w:t>
            </w:r>
            <w:proofErr w:type="gramEnd"/>
            <w:r w:rsidRPr="00C24F4C">
              <w:rPr>
                <w:rFonts w:ascii="仿宋" w:eastAsia="仿宋" w:hAnsi="仿宋" w:cs="宋体" w:hint="eastAsia"/>
                <w:color w:val="000000"/>
                <w:sz w:val="24"/>
              </w:rPr>
              <w:t>ESG实践路径</w:t>
            </w:r>
          </w:p>
        </w:tc>
      </w:tr>
      <w:tr w:rsidR="00C963CE" w:rsidRPr="00C24F4C" w:rsidTr="00160C61">
        <w:trPr>
          <w:trHeight w:val="570"/>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91</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GYJZ133</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资产运营的ESG绩效提升路径探索实践—地产行业布局可持续发展新格局</w:t>
            </w:r>
          </w:p>
        </w:tc>
      </w:tr>
      <w:tr w:rsidR="00C963CE" w:rsidRPr="00C24F4C" w:rsidTr="00160C61">
        <w:trPr>
          <w:trHeight w:val="285"/>
          <w:jc w:val="center"/>
        </w:trPr>
        <w:tc>
          <w:tcPr>
            <w:tcW w:w="601" w:type="pct"/>
            <w:vMerge w:val="restar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招投标</w:t>
            </w: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92</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GYJZ0030</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上海市招投标市场政策变化的发展（上）</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93</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GYJZ0031</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上海市招投标市场政策变化的发展（下）</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94</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GYJZ0032</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本市物业招投标市场环境变化</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95</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GYJZ0033</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招标规则调整后竞争方向的变化</w:t>
            </w:r>
          </w:p>
        </w:tc>
      </w:tr>
      <w:tr w:rsidR="00C963CE" w:rsidRPr="00C24F4C" w:rsidTr="00160C61">
        <w:trPr>
          <w:trHeight w:val="285"/>
          <w:jc w:val="center"/>
        </w:trPr>
        <w:tc>
          <w:tcPr>
            <w:tcW w:w="601" w:type="pct"/>
            <w:vMerge w:val="restar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职称评审</w:t>
            </w: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96</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gyzb018</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工程系列中级职称评审（上）</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97</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gyzb019</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工程系列中级职称评审（中）</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98</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gyzb020</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工程系列中级职称评审（下）</w:t>
            </w:r>
          </w:p>
        </w:tc>
      </w:tr>
      <w:tr w:rsidR="00C963CE" w:rsidRPr="00C24F4C" w:rsidTr="00160C61">
        <w:trPr>
          <w:trHeight w:val="285"/>
          <w:jc w:val="center"/>
        </w:trPr>
        <w:tc>
          <w:tcPr>
            <w:tcW w:w="601" w:type="pct"/>
            <w:vMerge w:val="restart"/>
            <w:shd w:val="clear" w:color="auto" w:fill="auto"/>
            <w:noWrap/>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资产管理</w:t>
            </w: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99</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GYJZ112</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什么是资产管理</w:t>
            </w:r>
          </w:p>
        </w:tc>
      </w:tr>
      <w:tr w:rsidR="00C963CE" w:rsidRPr="00C24F4C" w:rsidTr="00160C61">
        <w:trPr>
          <w:trHeight w:val="285"/>
          <w:jc w:val="center"/>
        </w:trPr>
        <w:tc>
          <w:tcPr>
            <w:tcW w:w="601" w:type="pct"/>
            <w:vMerge/>
            <w:shd w:val="clear" w:color="auto" w:fill="auto"/>
            <w:noWrap/>
            <w:vAlign w:val="center"/>
            <w:hideMark/>
          </w:tcPr>
          <w:p w:rsidR="00C963CE" w:rsidRPr="00C24F4C" w:rsidRDefault="00C963CE" w:rsidP="00160C61">
            <w:pPr>
              <w:rPr>
                <w:rFonts w:ascii="仿宋" w:eastAsia="仿宋" w:hAnsi="仿宋" w:cs="宋体"/>
                <w:color w:val="000000"/>
                <w:sz w:val="24"/>
              </w:rPr>
            </w:pPr>
          </w:p>
        </w:tc>
        <w:tc>
          <w:tcPr>
            <w:tcW w:w="482" w:type="pct"/>
            <w:vAlign w:val="center"/>
          </w:tcPr>
          <w:p w:rsidR="00C963CE" w:rsidRPr="00C24F4C" w:rsidRDefault="00C963CE" w:rsidP="00160C61">
            <w:pPr>
              <w:jc w:val="center"/>
              <w:rPr>
                <w:rFonts w:ascii="仿宋" w:eastAsia="仿宋" w:hAnsi="仿宋" w:cs="宋体"/>
                <w:color w:val="000000"/>
                <w:sz w:val="24"/>
              </w:rPr>
            </w:pPr>
            <w:r w:rsidRPr="00C24F4C">
              <w:rPr>
                <w:rFonts w:ascii="仿宋" w:eastAsia="仿宋" w:hAnsi="仿宋" w:cs="宋体" w:hint="eastAsia"/>
                <w:color w:val="000000"/>
                <w:sz w:val="24"/>
              </w:rPr>
              <w:t>100</w:t>
            </w:r>
          </w:p>
        </w:tc>
        <w:tc>
          <w:tcPr>
            <w:tcW w:w="66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GYJZ113</w:t>
            </w:r>
          </w:p>
        </w:tc>
        <w:tc>
          <w:tcPr>
            <w:tcW w:w="3253" w:type="pct"/>
            <w:shd w:val="clear" w:color="auto" w:fill="auto"/>
            <w:vAlign w:val="center"/>
            <w:hideMark/>
          </w:tcPr>
          <w:p w:rsidR="00C963CE" w:rsidRPr="00C24F4C" w:rsidRDefault="00C963CE" w:rsidP="00160C61">
            <w:pPr>
              <w:rPr>
                <w:rFonts w:ascii="仿宋" w:eastAsia="仿宋" w:hAnsi="仿宋" w:cs="宋体"/>
                <w:color w:val="000000"/>
                <w:sz w:val="24"/>
              </w:rPr>
            </w:pPr>
            <w:r w:rsidRPr="00C24F4C">
              <w:rPr>
                <w:rFonts w:ascii="仿宋" w:eastAsia="仿宋" w:hAnsi="仿宋" w:cs="宋体" w:hint="eastAsia"/>
                <w:color w:val="000000"/>
                <w:sz w:val="24"/>
              </w:rPr>
              <w:t>FM综述及资产管理与设施管理未来趋势</w:t>
            </w:r>
          </w:p>
        </w:tc>
      </w:tr>
    </w:tbl>
    <w:p w:rsidR="009A729D" w:rsidRPr="00C963CE" w:rsidRDefault="009A729D" w:rsidP="00C963CE"/>
    <w:sectPr w:rsidR="009A729D" w:rsidRPr="00C963CE">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CFF" w:rsidRDefault="00C963CE">
    <w:pPr>
      <w:pStyle w:val="a3"/>
      <w:jc w:val="center"/>
      <w:rPr>
        <w:rFonts w:ascii="Times New Roman" w:hAnsi="Times New Roman" w:cs="Times New Roman"/>
        <w:b/>
        <w:bCs/>
        <w:sz w:val="22"/>
        <w:szCs w:val="2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CE"/>
    <w:rsid w:val="009A729D"/>
    <w:rsid w:val="00C96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1F0EF-5F74-4C42-ACFC-C56769E6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3C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963CE"/>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C963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2024-06-03T03:06:00Z</dcterms:created>
  <dcterms:modified xsi:type="dcterms:W3CDTF">2024-06-03T03:07:00Z</dcterms:modified>
</cp:coreProperties>
</file>